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D" w:rsidRPr="00A441DD" w:rsidRDefault="00A441DD" w:rsidP="00FC0CA1">
      <w:pPr>
        <w:widowControl w:val="0"/>
        <w:outlineLvl w:val="0"/>
        <w:rPr>
          <w:b/>
          <w:sz w:val="24"/>
          <w:szCs w:val="24"/>
        </w:rPr>
      </w:pPr>
    </w:p>
    <w:p w:rsidR="003B6ABD" w:rsidRPr="00A441DD" w:rsidRDefault="00A441DD" w:rsidP="00D2685A">
      <w:pPr>
        <w:widowControl w:val="0"/>
        <w:jc w:val="center"/>
        <w:outlineLvl w:val="0"/>
        <w:rPr>
          <w:b/>
          <w:sz w:val="24"/>
          <w:szCs w:val="24"/>
        </w:rPr>
      </w:pPr>
    </w:p>
    <w:p w:rsidR="00D2685A" w:rsidRPr="00A441DD" w:rsidRDefault="00CF74D6" w:rsidP="00D2685A">
      <w:pPr>
        <w:widowControl w:val="0"/>
        <w:jc w:val="center"/>
        <w:outlineLvl w:val="0"/>
        <w:rPr>
          <w:b/>
          <w:sz w:val="24"/>
          <w:szCs w:val="24"/>
        </w:rPr>
      </w:pPr>
      <w:r w:rsidRPr="00A441DD">
        <w:rPr>
          <w:b/>
          <w:sz w:val="24"/>
          <w:szCs w:val="24"/>
        </w:rPr>
        <w:t xml:space="preserve">Дополнительное соглашение № </w:t>
      </w:r>
      <w:r w:rsidR="00D15EC4" w:rsidRPr="00A441DD">
        <w:rPr>
          <w:b/>
          <w:sz w:val="24"/>
          <w:szCs w:val="24"/>
        </w:rPr>
        <w:t>__________</w:t>
      </w:r>
    </w:p>
    <w:p w:rsidR="00D2685A" w:rsidRPr="00A441DD" w:rsidRDefault="00CF74D6" w:rsidP="00D2685A">
      <w:pPr>
        <w:jc w:val="center"/>
        <w:rPr>
          <w:b/>
          <w:sz w:val="24"/>
          <w:szCs w:val="24"/>
        </w:rPr>
      </w:pPr>
      <w:r w:rsidRPr="00A441DD">
        <w:rPr>
          <w:b/>
          <w:sz w:val="24"/>
          <w:szCs w:val="24"/>
        </w:rPr>
        <w:t>к договору об оказании услуг по хранению и наливу нефтепродуктов</w:t>
      </w:r>
    </w:p>
    <w:p w:rsidR="00D2685A" w:rsidRPr="00A441DD" w:rsidRDefault="00CF74D6" w:rsidP="00D2685A">
      <w:pPr>
        <w:widowControl w:val="0"/>
        <w:jc w:val="center"/>
        <w:outlineLvl w:val="0"/>
        <w:rPr>
          <w:b/>
          <w:sz w:val="24"/>
          <w:szCs w:val="24"/>
        </w:rPr>
      </w:pPr>
      <w:r w:rsidRPr="00A441DD">
        <w:rPr>
          <w:b/>
          <w:sz w:val="24"/>
          <w:szCs w:val="24"/>
        </w:rPr>
        <w:t xml:space="preserve">№ </w:t>
      </w:r>
      <w:r w:rsidR="00D15EC4" w:rsidRPr="00A441DD">
        <w:rPr>
          <w:b/>
          <w:bCs/>
          <w:sz w:val="24"/>
          <w:szCs w:val="24"/>
        </w:rPr>
        <w:t>_______________</w:t>
      </w:r>
      <w:r w:rsidRPr="00A441DD">
        <w:rPr>
          <w:b/>
          <w:sz w:val="24"/>
          <w:szCs w:val="24"/>
        </w:rPr>
        <w:t xml:space="preserve"> от _________ </w:t>
      </w:r>
    </w:p>
    <w:p w:rsidR="00D2685A" w:rsidRPr="00A441DD" w:rsidRDefault="00D15EC4" w:rsidP="00D2685A">
      <w:pPr>
        <w:widowControl w:val="0"/>
        <w:jc w:val="center"/>
        <w:outlineLvl w:val="0"/>
        <w:rPr>
          <w:b/>
          <w:sz w:val="24"/>
          <w:szCs w:val="24"/>
        </w:rPr>
      </w:pPr>
      <w:r w:rsidRPr="00A441DD">
        <w:rPr>
          <w:b/>
          <w:sz w:val="24"/>
          <w:szCs w:val="24"/>
        </w:rPr>
        <w:t xml:space="preserve">между </w:t>
      </w:r>
      <w:r w:rsidR="00CF74D6" w:rsidRPr="00A441DD">
        <w:rPr>
          <w:b/>
          <w:sz w:val="24"/>
          <w:szCs w:val="24"/>
        </w:rPr>
        <w:t>АО «</w:t>
      </w:r>
      <w:r w:rsidRPr="00A441DD">
        <w:rPr>
          <w:b/>
          <w:sz w:val="24"/>
          <w:szCs w:val="24"/>
        </w:rPr>
        <w:t>Серпуховская нефтебаза</w:t>
      </w:r>
      <w:r w:rsidR="00CF74D6" w:rsidRPr="00A441DD">
        <w:rPr>
          <w:b/>
          <w:sz w:val="24"/>
          <w:szCs w:val="24"/>
        </w:rPr>
        <w:t>» и ____ "_________________"</w:t>
      </w:r>
    </w:p>
    <w:p w:rsidR="003B6ABD" w:rsidRPr="00A441DD" w:rsidRDefault="00A441DD" w:rsidP="00D2685A">
      <w:pPr>
        <w:jc w:val="both"/>
        <w:rPr>
          <w:b/>
          <w:sz w:val="24"/>
          <w:szCs w:val="24"/>
        </w:rPr>
      </w:pPr>
    </w:p>
    <w:p w:rsidR="00D2685A" w:rsidRPr="00A441DD" w:rsidRDefault="00CF74D6" w:rsidP="00D2685A">
      <w:pPr>
        <w:jc w:val="both"/>
        <w:rPr>
          <w:b/>
          <w:sz w:val="24"/>
          <w:szCs w:val="24"/>
        </w:rPr>
      </w:pPr>
      <w:r w:rsidRPr="00A441DD">
        <w:rPr>
          <w:b/>
          <w:sz w:val="24"/>
          <w:szCs w:val="24"/>
        </w:rPr>
        <w:t xml:space="preserve">г. </w:t>
      </w:r>
      <w:r w:rsidR="005879E2" w:rsidRPr="00A441DD">
        <w:rPr>
          <w:b/>
          <w:sz w:val="24"/>
          <w:szCs w:val="24"/>
        </w:rPr>
        <w:t>Серпухов</w:t>
      </w:r>
      <w:r w:rsidRPr="00A441DD">
        <w:rPr>
          <w:b/>
          <w:sz w:val="24"/>
          <w:szCs w:val="24"/>
        </w:rPr>
        <w:t xml:space="preserve">                         </w:t>
      </w:r>
      <w:r w:rsidRPr="00A441DD">
        <w:rPr>
          <w:b/>
          <w:sz w:val="24"/>
          <w:szCs w:val="24"/>
        </w:rPr>
        <w:tab/>
      </w:r>
      <w:r w:rsidRPr="00A441DD">
        <w:rPr>
          <w:b/>
          <w:sz w:val="24"/>
          <w:szCs w:val="24"/>
        </w:rPr>
        <w:tab/>
      </w:r>
      <w:r w:rsidRPr="00A441DD">
        <w:rPr>
          <w:b/>
          <w:sz w:val="24"/>
          <w:szCs w:val="24"/>
        </w:rPr>
        <w:tab/>
        <w:t xml:space="preserve">                                                     </w:t>
      </w:r>
      <w:r w:rsidR="00D15EC4" w:rsidRPr="00A441DD">
        <w:rPr>
          <w:b/>
          <w:sz w:val="24"/>
          <w:szCs w:val="24"/>
        </w:rPr>
        <w:t xml:space="preserve">           "___" _________ 2019 </w:t>
      </w:r>
      <w:r w:rsidRPr="00A441DD">
        <w:rPr>
          <w:b/>
          <w:sz w:val="24"/>
          <w:szCs w:val="24"/>
        </w:rPr>
        <w:t>г.</w:t>
      </w:r>
    </w:p>
    <w:p w:rsidR="00D2685A" w:rsidRPr="00A441DD" w:rsidRDefault="00A441DD" w:rsidP="00D2685A">
      <w:pPr>
        <w:jc w:val="both"/>
        <w:rPr>
          <w:b/>
          <w:sz w:val="24"/>
          <w:szCs w:val="24"/>
        </w:rPr>
      </w:pPr>
    </w:p>
    <w:p w:rsidR="002F14DC" w:rsidRPr="00A441DD" w:rsidRDefault="00D15EC4" w:rsidP="00D2685A">
      <w:pPr>
        <w:ind w:firstLine="708"/>
        <w:jc w:val="both"/>
        <w:rPr>
          <w:sz w:val="24"/>
          <w:szCs w:val="24"/>
        </w:rPr>
      </w:pPr>
      <w:r w:rsidRPr="00A441DD">
        <w:rPr>
          <w:sz w:val="24"/>
          <w:szCs w:val="24"/>
        </w:rPr>
        <w:t>А</w:t>
      </w:r>
      <w:r w:rsidR="00CF74D6" w:rsidRPr="00A441DD">
        <w:rPr>
          <w:sz w:val="24"/>
          <w:szCs w:val="24"/>
        </w:rPr>
        <w:t>кционерное общество «</w:t>
      </w:r>
      <w:r w:rsidRPr="00A441DD">
        <w:rPr>
          <w:sz w:val="24"/>
          <w:szCs w:val="24"/>
        </w:rPr>
        <w:t>Серпуховская нефтебаза» (</w:t>
      </w:r>
      <w:r w:rsidR="00CF74D6" w:rsidRPr="00A441DD">
        <w:rPr>
          <w:sz w:val="24"/>
          <w:szCs w:val="24"/>
        </w:rPr>
        <w:t>АО «</w:t>
      </w:r>
      <w:r w:rsidRPr="00A441DD">
        <w:rPr>
          <w:sz w:val="24"/>
          <w:szCs w:val="24"/>
        </w:rPr>
        <w:t>Серпуховская нефтебаза</w:t>
      </w:r>
      <w:r w:rsidR="00CF74D6" w:rsidRPr="00A441DD">
        <w:rPr>
          <w:sz w:val="24"/>
          <w:szCs w:val="24"/>
        </w:rPr>
        <w:t xml:space="preserve">»), именуемое в дальнейшем </w:t>
      </w:r>
      <w:r w:rsidRPr="00A441DD">
        <w:rPr>
          <w:sz w:val="24"/>
          <w:szCs w:val="24"/>
        </w:rPr>
        <w:t>оператор товарных поставок</w:t>
      </w:r>
      <w:r w:rsidR="00CF74D6" w:rsidRPr="00A441DD">
        <w:rPr>
          <w:sz w:val="24"/>
          <w:szCs w:val="24"/>
        </w:rPr>
        <w:t xml:space="preserve">, в лице </w:t>
      </w:r>
      <w:r w:rsidRPr="00A441DD">
        <w:rPr>
          <w:sz w:val="24"/>
          <w:szCs w:val="24"/>
        </w:rPr>
        <w:t>Генерального директора Фёдорова Юрия Борисовича</w:t>
      </w:r>
      <w:r w:rsidR="00CF74D6" w:rsidRPr="00A441DD">
        <w:rPr>
          <w:sz w:val="24"/>
          <w:szCs w:val="24"/>
        </w:rPr>
        <w:t xml:space="preserve">, действующего на основании </w:t>
      </w:r>
      <w:r w:rsidRPr="00A441DD">
        <w:rPr>
          <w:sz w:val="24"/>
          <w:szCs w:val="24"/>
        </w:rPr>
        <w:t>Устава</w:t>
      </w:r>
      <w:r w:rsidR="00CF74D6" w:rsidRPr="00A441DD">
        <w:rPr>
          <w:sz w:val="24"/>
          <w:szCs w:val="24"/>
        </w:rPr>
        <w:t xml:space="preserve"> с одной стороны, и</w:t>
      </w:r>
      <w:proofErr w:type="gramStart"/>
      <w:r w:rsidR="00CF74D6" w:rsidRPr="00A441DD">
        <w:rPr>
          <w:sz w:val="24"/>
          <w:szCs w:val="24"/>
        </w:rPr>
        <w:t xml:space="preserve"> __________________ «_______________» (_____ «_________»), </w:t>
      </w:r>
      <w:proofErr w:type="gramEnd"/>
      <w:r w:rsidR="00CF74D6" w:rsidRPr="00A441DD">
        <w:rPr>
          <w:sz w:val="24"/>
          <w:szCs w:val="24"/>
        </w:rPr>
        <w:t xml:space="preserve">именуемое в дальнейшем Заказчик, в лице _________________, действующего на основании </w:t>
      </w:r>
      <w:r w:rsidRPr="00A441DD">
        <w:rPr>
          <w:sz w:val="24"/>
          <w:szCs w:val="24"/>
        </w:rPr>
        <w:t>Устава</w:t>
      </w:r>
      <w:r w:rsidR="00CF74D6" w:rsidRPr="00A441DD">
        <w:rPr>
          <w:sz w:val="24"/>
          <w:szCs w:val="24"/>
        </w:rPr>
        <w:t xml:space="preserve"> с другой стороны, совместно именуемые Стороны,  учитывая что:</w:t>
      </w:r>
    </w:p>
    <w:p w:rsidR="002F14DC" w:rsidRPr="00A441DD" w:rsidRDefault="00D15EC4" w:rsidP="00ED76D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441DD">
        <w:rPr>
          <w:sz w:val="24"/>
          <w:szCs w:val="24"/>
        </w:rPr>
        <w:t>АО «Серпуховская нефтебаза»</w:t>
      </w:r>
      <w:r w:rsidR="00CF74D6" w:rsidRPr="00A441DD">
        <w:rPr>
          <w:sz w:val="24"/>
          <w:szCs w:val="24"/>
        </w:rPr>
        <w:t xml:space="preserve"> является оператором товарных поставок в Секции «Нефтепродукты» акционерного общества «Санкт-Петербургская Международная Товарно-сырьевая Биржа» (далее – Биржа или АО «СПбМТСБ»); </w:t>
      </w:r>
    </w:p>
    <w:p w:rsidR="00D2685A" w:rsidRPr="00A441DD" w:rsidRDefault="00CF74D6" w:rsidP="00063EE0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A441DD">
        <w:rPr>
          <w:sz w:val="24"/>
          <w:szCs w:val="24"/>
        </w:rPr>
        <w:t xml:space="preserve">Заказчик является Участником клиринга, заключив договор с Клиринговой организацией (АО «СПбМТСБ»), и участником торгов (клиентом) на Бирже, получивший в соответствии с Правилами биржевой торговли право участвовать в биржевых торгах, заключили настоящее Дополнительное соглашение (далее – ДС ОТП) к договору об оказании услуг по хранению и наливу нефтепродуктов от __________ № </w:t>
      </w:r>
      <w:r w:rsidR="00D15EC4" w:rsidRPr="00A441DD">
        <w:rPr>
          <w:sz w:val="24"/>
          <w:szCs w:val="24"/>
        </w:rPr>
        <w:t>____________</w:t>
      </w:r>
      <w:r w:rsidRPr="00A441DD">
        <w:rPr>
          <w:sz w:val="24"/>
          <w:szCs w:val="24"/>
        </w:rPr>
        <w:t>___ (далее – Договор) о нижеследующем.</w:t>
      </w:r>
      <w:proofErr w:type="gramEnd"/>
    </w:p>
    <w:p w:rsidR="00E06D9D" w:rsidRPr="00A441DD" w:rsidRDefault="00A441DD" w:rsidP="00D2685A">
      <w:pPr>
        <w:ind w:firstLine="708"/>
        <w:jc w:val="both"/>
        <w:rPr>
          <w:sz w:val="24"/>
          <w:szCs w:val="24"/>
        </w:rPr>
      </w:pPr>
    </w:p>
    <w:p w:rsidR="00E06D9D" w:rsidRPr="00A441DD" w:rsidRDefault="00CF74D6" w:rsidP="00D2685A">
      <w:pPr>
        <w:ind w:firstLine="708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В целях обеспечения быстрой и надежной процедуры поставки Нефтепродуктов по принципу «поставка против платежа» Заказчик  при осуществлении товарных поставок через Биржу находящихся на хранении Нефтепродуктов использует Торговый товарный счет (далее – ТТС), открываемый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sz w:val="24"/>
          <w:szCs w:val="24"/>
        </w:rPr>
        <w:t xml:space="preserve">.  </w:t>
      </w:r>
    </w:p>
    <w:p w:rsidR="00265F2B" w:rsidRPr="00A441DD" w:rsidRDefault="00A441DD" w:rsidP="00D2685A">
      <w:pPr>
        <w:rPr>
          <w:sz w:val="24"/>
          <w:szCs w:val="24"/>
        </w:rPr>
      </w:pPr>
    </w:p>
    <w:p w:rsidR="001B71A9" w:rsidRPr="00A441DD" w:rsidRDefault="00CF74D6" w:rsidP="00330BD1">
      <w:pPr>
        <w:spacing w:before="113" w:after="113" w:line="264" w:lineRule="auto"/>
        <w:ind w:firstLine="708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1. </w:t>
      </w:r>
      <w:proofErr w:type="gramStart"/>
      <w:r w:rsidRPr="00A441DD">
        <w:rPr>
          <w:sz w:val="24"/>
          <w:szCs w:val="24"/>
        </w:rPr>
        <w:t xml:space="preserve">По настоящему Дополнительному соглашению Заказчик обязуется предоставить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sz w:val="24"/>
          <w:szCs w:val="24"/>
        </w:rPr>
        <w:t xml:space="preserve"> необходимые документы и осуществить необходимые действия для открытия ТТС, а </w:t>
      </w:r>
      <w:r w:rsidR="00D15EC4" w:rsidRPr="00A441DD">
        <w:rPr>
          <w:sz w:val="24"/>
          <w:szCs w:val="24"/>
        </w:rPr>
        <w:t xml:space="preserve">АО «Серпуховская нефтебаза» </w:t>
      </w:r>
      <w:r w:rsidRPr="00A441DD">
        <w:rPr>
          <w:sz w:val="24"/>
          <w:szCs w:val="24"/>
        </w:rPr>
        <w:t>обязуется оказывать услуги оператора товарных поставок по обязательствам Заказчика, допущенным к клирингу, включая открытие и закрытие ТТС, а также осуществление операций по указанному счету в связи с участием Заказчика в организованных торгах в Секции «Нефтепродукты» Биржи.</w:t>
      </w:r>
      <w:proofErr w:type="gramEnd"/>
    </w:p>
    <w:p w:rsidR="00266899" w:rsidRPr="00A441DD" w:rsidRDefault="00CF74D6" w:rsidP="00C22059">
      <w:pPr>
        <w:spacing w:before="113" w:after="113" w:line="264" w:lineRule="auto"/>
        <w:ind w:firstLine="720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2. </w:t>
      </w:r>
      <w:proofErr w:type="gramStart"/>
      <w:r w:rsidRPr="00A441DD">
        <w:rPr>
          <w:sz w:val="24"/>
          <w:szCs w:val="24"/>
        </w:rPr>
        <w:t xml:space="preserve">Порядок и условия открытия и закрытия ТТС, осуществления операций по указанному счету, а также учету прав на Нефтепродукты, допущенные Биржей к организованным торгам в Секции «Нефтепродукты», в том числе формы документов, являющихся основанием для проведения операций, а также формы отчетов, выписок и иных документов, выдаваемых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sz w:val="24"/>
          <w:szCs w:val="24"/>
        </w:rPr>
        <w:t>, определяются Условиями оказания услуг оператора товарных поставок в Секции «Нефтепродукты» Биржи, которые</w:t>
      </w:r>
      <w:proofErr w:type="gramEnd"/>
      <w:r w:rsidRPr="00A441DD">
        <w:rPr>
          <w:sz w:val="24"/>
          <w:szCs w:val="24"/>
        </w:rPr>
        <w:t xml:space="preserve"> являются неотъемлемой частью Договора с момента подписания  ДС ОТП (далее по тексту - Условия оказания услуг ОТП). </w:t>
      </w:r>
    </w:p>
    <w:p w:rsidR="00266899" w:rsidRPr="00A441DD" w:rsidRDefault="00CF74D6" w:rsidP="00063EE0">
      <w:pPr>
        <w:spacing w:before="113" w:after="113" w:line="264" w:lineRule="auto"/>
        <w:ind w:firstLine="708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3.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sz w:val="24"/>
          <w:szCs w:val="24"/>
        </w:rPr>
        <w:t xml:space="preserve"> размещает на сайте в информационно-телекоммуникационной сети «Интернет» (по адресу: </w:t>
      </w:r>
      <w:r w:rsidR="005F5F86" w:rsidRPr="00A441DD">
        <w:rPr>
          <w:sz w:val="24"/>
          <w:szCs w:val="24"/>
        </w:rPr>
        <w:t>(http://volgaresurs.ru/)</w:t>
      </w:r>
      <w:r w:rsidRPr="00A441DD">
        <w:rPr>
          <w:sz w:val="24"/>
          <w:szCs w:val="24"/>
        </w:rPr>
        <w:t xml:space="preserve">, раздел «Оператор товарных поставок») действующую редакцию Условий оказания услуг ОТП, а  также все изменения и дополнения к ним. Право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sz w:val="24"/>
          <w:szCs w:val="24"/>
        </w:rPr>
        <w:t xml:space="preserve"> на внесение изменений и дополнений в указанный документ, а также порядок внесения изменений и дополнений предусмотрены Условиями оказания услуг ОТП. </w:t>
      </w:r>
    </w:p>
    <w:p w:rsidR="00D25239" w:rsidRPr="00A441DD" w:rsidRDefault="00CF74D6" w:rsidP="00063EE0">
      <w:pPr>
        <w:spacing w:before="113" w:after="113" w:line="264" w:lineRule="auto"/>
        <w:ind w:firstLine="708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4. Заключая настоящее дополнительное соглашение, Заказчик обязуется передавать на зачисление на ТТС Нефтепродукты, принадлежащие ему на праве собственности или на ином законном основании и находящиеся на хранении в </w:t>
      </w:r>
      <w:r w:rsidR="005F5F86" w:rsidRPr="00A441DD">
        <w:rPr>
          <w:sz w:val="24"/>
          <w:szCs w:val="24"/>
        </w:rPr>
        <w:t>АО «Серпуховская нефтебаза»</w:t>
      </w:r>
      <w:bookmarkStart w:id="0" w:name="_GoBack"/>
      <w:bookmarkEnd w:id="0"/>
      <w:r w:rsidRPr="00A441DD">
        <w:rPr>
          <w:sz w:val="24"/>
          <w:szCs w:val="24"/>
        </w:rPr>
        <w:t xml:space="preserve"> в рамках Договора. </w:t>
      </w:r>
    </w:p>
    <w:p w:rsidR="00E26098" w:rsidRPr="00A441DD" w:rsidRDefault="00CF74D6" w:rsidP="005F5F86">
      <w:pPr>
        <w:spacing w:before="113" w:line="264" w:lineRule="auto"/>
        <w:ind w:firstLine="709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5. </w:t>
      </w:r>
      <w:proofErr w:type="gramStart"/>
      <w:r w:rsidRPr="00A441DD">
        <w:rPr>
          <w:sz w:val="24"/>
          <w:szCs w:val="24"/>
        </w:rPr>
        <w:t>В отношении Нефтепродуктов Заказчика, зачисленных на его ТТС, могут осуществляться только операции, предусмотренные Условиями оказания услуг ОТП, при этом минимальная партия Нефтепродуктов, подлежащая зачислению/списанию на/с ТТС по результатам торгов на Бирже</w:t>
      </w:r>
      <w:r w:rsidR="005F5F86" w:rsidRPr="00A441DD">
        <w:rPr>
          <w:sz w:val="24"/>
          <w:szCs w:val="24"/>
        </w:rPr>
        <w:t xml:space="preserve">, составляет 10,0 тонн.   </w:t>
      </w:r>
      <w:r w:rsidRPr="00A441DD">
        <w:rPr>
          <w:rFonts w:eastAsia="Calibri"/>
          <w:sz w:val="24"/>
          <w:szCs w:val="24"/>
          <w:lang w:eastAsia="ru-RU"/>
        </w:rPr>
        <w:tab/>
      </w:r>
      <w:proofErr w:type="gramEnd"/>
    </w:p>
    <w:p w:rsidR="00AA3D40" w:rsidRPr="00A441DD" w:rsidRDefault="00CF74D6" w:rsidP="00FC0CA1">
      <w:pPr>
        <w:tabs>
          <w:tab w:val="left" w:pos="142"/>
        </w:tabs>
        <w:spacing w:before="113" w:line="264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lastRenderedPageBreak/>
        <w:t>6. Моментом зачисления Нефтепродуктов, приобретенных Заказчиком в результате торгов на Бирже, на ТТС Заказчика считается момент совершения соответствующей записи на зачисление Нефтепродуктов по ТТС Заказчика.</w:t>
      </w:r>
    </w:p>
    <w:p w:rsidR="00427E67" w:rsidRPr="00A441DD" w:rsidRDefault="00CF74D6" w:rsidP="00FC0CA1">
      <w:pPr>
        <w:tabs>
          <w:tab w:val="left" w:pos="567"/>
        </w:tabs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ab/>
        <w:t xml:space="preserve">  Хранение Нефтепродуктов, приобретенных Заказчиком в результате торгов на Бирже, начинается </w:t>
      </w:r>
      <w:proofErr w:type="gramStart"/>
      <w:r w:rsidRPr="00A441DD">
        <w:rPr>
          <w:rFonts w:eastAsia="Calibri"/>
          <w:sz w:val="24"/>
          <w:szCs w:val="24"/>
          <w:lang w:eastAsia="ru-RU"/>
        </w:rPr>
        <w:t xml:space="preserve">с </w:t>
      </w:r>
      <w:r w:rsidRPr="00A441DD">
        <w:rPr>
          <w:rFonts w:eastAsiaTheme="minorHAnsi"/>
          <w:sz w:val="24"/>
          <w:szCs w:val="24"/>
          <w:lang w:eastAsia="ru-RU"/>
        </w:rPr>
        <w:t xml:space="preserve">даты </w:t>
      </w:r>
      <w:r w:rsidRPr="00A441DD">
        <w:rPr>
          <w:rFonts w:eastAsia="Calibri"/>
          <w:bCs/>
          <w:sz w:val="24"/>
          <w:szCs w:val="24"/>
          <w:lang w:eastAsia="ru-RU"/>
        </w:rPr>
        <w:t>передачи</w:t>
      </w:r>
      <w:proofErr w:type="gramEnd"/>
      <w:r w:rsidRPr="00A441DD">
        <w:rPr>
          <w:rFonts w:eastAsia="Calibri"/>
          <w:bCs/>
          <w:sz w:val="24"/>
          <w:szCs w:val="24"/>
          <w:lang w:eastAsia="ru-RU"/>
        </w:rPr>
        <w:t xml:space="preserve"> (зачисления) Нефтепродуктов на ТТС Заказчика, </w:t>
      </w:r>
      <w:r w:rsidRPr="00A441DD">
        <w:rPr>
          <w:rFonts w:eastAsia="Calibri"/>
          <w:sz w:val="24"/>
          <w:szCs w:val="24"/>
          <w:lang w:eastAsia="ru-RU"/>
        </w:rPr>
        <w:t xml:space="preserve">при этом дата зачисления Нефтепродуктов на ТТС соответствует дате получения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сводного распоряжения от Клиринговой организации на «зачисление/списание нефтепродуктов» на зачисление Нефтепродуктов.</w:t>
      </w:r>
    </w:p>
    <w:p w:rsidR="00A26962" w:rsidRPr="00A441DD" w:rsidRDefault="00CF74D6" w:rsidP="008C0530">
      <w:pPr>
        <w:tabs>
          <w:tab w:val="left" w:pos="567"/>
        </w:tabs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ab/>
        <w:t>Днем начала начисления платы за хранение Нефтепродуктов считается дата передачи (зачисление)  нефтепродуктов на ТТС.</w:t>
      </w:r>
    </w:p>
    <w:p w:rsidR="00094DC3" w:rsidRPr="00A441DD" w:rsidRDefault="00CF74D6" w:rsidP="00FC0CA1">
      <w:pPr>
        <w:tabs>
          <w:tab w:val="left" w:pos="567"/>
        </w:tabs>
        <w:spacing w:before="113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sz w:val="24"/>
          <w:szCs w:val="24"/>
        </w:rPr>
        <w:tab/>
        <w:t xml:space="preserve">   7.</w:t>
      </w:r>
      <w:r w:rsidRPr="00A441DD">
        <w:rPr>
          <w:rFonts w:eastAsia="Calibri"/>
          <w:sz w:val="24"/>
          <w:szCs w:val="24"/>
          <w:lang w:eastAsia="ru-RU"/>
        </w:rPr>
        <w:t xml:space="preserve"> Моментом списания Нефтепродуктов, реализованных Заказчиком в результате торгов на Бирже, с ТТС Заказчика считается момент совершения записи на списание Нефтепродуктов по ТТС Заказчика.</w:t>
      </w:r>
    </w:p>
    <w:p w:rsidR="00662990" w:rsidRPr="00A441DD" w:rsidRDefault="00CF74D6" w:rsidP="001A4FFC">
      <w:pPr>
        <w:tabs>
          <w:tab w:val="left" w:pos="567"/>
        </w:tabs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 xml:space="preserve"> </w:t>
      </w:r>
      <w:r w:rsidRPr="00A441DD">
        <w:rPr>
          <w:rFonts w:eastAsia="Calibri"/>
          <w:sz w:val="24"/>
          <w:szCs w:val="24"/>
          <w:lang w:eastAsia="ru-RU"/>
        </w:rPr>
        <w:tab/>
      </w:r>
      <w:proofErr w:type="gramStart"/>
      <w:r w:rsidRPr="00A441DD">
        <w:rPr>
          <w:rFonts w:eastAsia="Calibri"/>
          <w:sz w:val="24"/>
          <w:szCs w:val="24"/>
          <w:lang w:eastAsia="ru-RU"/>
        </w:rPr>
        <w:t xml:space="preserve">Хранение Нефтепродуктов, реализованных Заказчиком по результатам торгов на Бирже, а также  обязательства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и Заказчика по настоящему Договору в отношении указанных Нефтепродуктов, прекращаются с даты передачи (списания) их с ТТС Заказчика на ТТС Заказчика, приобретшего Товар, при этом дата списания нефтепродуктов с ТТС соответствует дате получения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сводного распоряжения Клиринговой организации на «зачисление/списание нефтепродуктов» на</w:t>
      </w:r>
      <w:proofErr w:type="gramEnd"/>
      <w:r w:rsidRPr="00A441DD">
        <w:rPr>
          <w:rFonts w:eastAsia="Calibri"/>
          <w:sz w:val="24"/>
          <w:szCs w:val="24"/>
          <w:lang w:eastAsia="ru-RU"/>
        </w:rPr>
        <w:t xml:space="preserve"> списание Нефтепродуктов. </w:t>
      </w:r>
    </w:p>
    <w:p w:rsidR="00D6737A" w:rsidRPr="00A441DD" w:rsidRDefault="00CF74D6" w:rsidP="001A4FFC">
      <w:pPr>
        <w:tabs>
          <w:tab w:val="left" w:pos="567"/>
        </w:tabs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ab/>
        <w:t xml:space="preserve">  Последним днем начисления платы за хранение Нефтепродуктов, реализованных Заказчиком по результатам торгов на Бирже, считается день предшествующий дате передачи (списания) нефтепродуктов с ТТС Заказчика.</w:t>
      </w:r>
    </w:p>
    <w:p w:rsidR="00A03475" w:rsidRPr="00A441DD" w:rsidRDefault="00CF74D6" w:rsidP="00FC0CA1">
      <w:pPr>
        <w:tabs>
          <w:tab w:val="left" w:pos="567"/>
        </w:tabs>
        <w:spacing w:before="113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 xml:space="preserve">            8.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начисляет плату за хранение Нефтепродукта, зачисленного на ТТС в соответствии с условиями Договора.</w:t>
      </w:r>
    </w:p>
    <w:p w:rsidR="00DB16C5" w:rsidRPr="00A441DD" w:rsidRDefault="00CF74D6" w:rsidP="00FC0CA1">
      <w:pPr>
        <w:tabs>
          <w:tab w:val="left" w:pos="567"/>
        </w:tabs>
        <w:spacing w:before="113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ab/>
        <w:t xml:space="preserve">  9. Срок действия ТТС ограничивается сроком действия Договора. По окончании действия Договора ТТС должен быть закрыт. </w:t>
      </w:r>
    </w:p>
    <w:p w:rsidR="009A2E56" w:rsidRPr="00A441DD" w:rsidRDefault="00CF74D6" w:rsidP="00063EE0">
      <w:pPr>
        <w:tabs>
          <w:tab w:val="left" w:pos="0"/>
        </w:tabs>
        <w:spacing w:before="113" w:after="113" w:line="264" w:lineRule="auto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 xml:space="preserve">           10. Порядок закрытия ТТС в связи с окончанием срока действия Договора. </w:t>
      </w:r>
    </w:p>
    <w:p w:rsidR="00372CB5" w:rsidRPr="00A441DD" w:rsidRDefault="00CF74D6" w:rsidP="00A918B5">
      <w:pPr>
        <w:tabs>
          <w:tab w:val="left" w:pos="0"/>
        </w:tabs>
        <w:spacing w:before="113" w:after="113" w:line="264" w:lineRule="auto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 xml:space="preserve">           10.1. Заказчик обязан за 10 рабочих дней до окончания срока действия Договора направить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распоряжение на списание остатков Товара с ТТС на карточку хранения и распоряжение на закрытие ТТС.</w:t>
      </w:r>
    </w:p>
    <w:p w:rsidR="00885BB2" w:rsidRPr="00A441DD" w:rsidRDefault="00CF74D6" w:rsidP="009227A2">
      <w:pPr>
        <w:spacing w:before="114" w:after="114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rFonts w:eastAsia="Calibri"/>
          <w:sz w:val="24"/>
          <w:szCs w:val="24"/>
          <w:lang w:eastAsia="ru-RU"/>
        </w:rPr>
        <w:t xml:space="preserve">           10.2. В случае невыполнения Заказчиком п. 10.1 ДС ОТП, </w:t>
      </w:r>
      <w:r w:rsidR="00D15EC4" w:rsidRPr="00A441DD">
        <w:rPr>
          <w:sz w:val="24"/>
          <w:szCs w:val="24"/>
        </w:rPr>
        <w:t>АО «Серпуховская нефтебаза»</w:t>
      </w:r>
      <w:r w:rsidRPr="00A441DD">
        <w:rPr>
          <w:rFonts w:eastAsia="Calibri"/>
          <w:sz w:val="24"/>
          <w:szCs w:val="24"/>
          <w:lang w:eastAsia="ru-RU"/>
        </w:rPr>
        <w:t xml:space="preserve"> за 6 рабочих дней до окончания срока действия Договора направляет в Клиринговую организацию уведомление </w:t>
      </w:r>
      <w:r w:rsidRPr="00A441DD">
        <w:rPr>
          <w:rFonts w:eastAsiaTheme="minorHAnsi"/>
          <w:sz w:val="24"/>
          <w:szCs w:val="24"/>
          <w:lang w:eastAsia="en-US"/>
        </w:rPr>
        <w:t xml:space="preserve">о </w:t>
      </w:r>
      <w:r w:rsidRPr="00A441DD">
        <w:rPr>
          <w:rFonts w:eastAsia="Calibri"/>
          <w:sz w:val="24"/>
          <w:szCs w:val="24"/>
          <w:lang w:eastAsia="ru-RU"/>
        </w:rPr>
        <w:t xml:space="preserve">торговом товарном счете Заказчика с указанием типа операции «расторжение» и указанием даты расторжения данного договора. </w:t>
      </w:r>
    </w:p>
    <w:p w:rsidR="008E04F3" w:rsidRPr="00A441DD" w:rsidRDefault="00D15EC4" w:rsidP="00FC0CA1">
      <w:pPr>
        <w:spacing w:before="114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441DD">
        <w:rPr>
          <w:sz w:val="24"/>
          <w:szCs w:val="24"/>
        </w:rPr>
        <w:t>АО «Серпуховская нефтебаза»</w:t>
      </w:r>
      <w:r w:rsidR="00CF74D6" w:rsidRPr="00A441DD">
        <w:rPr>
          <w:rFonts w:eastAsia="Calibri"/>
          <w:sz w:val="24"/>
          <w:szCs w:val="24"/>
          <w:lang w:eastAsia="ru-RU"/>
        </w:rPr>
        <w:t xml:space="preserve"> по распоряжению Клиринговой организации осуществляет списание остатков Товара с ТТС Заказчика на карточку хранения и закрытие ТТС.</w:t>
      </w:r>
    </w:p>
    <w:p w:rsidR="00C90FF2" w:rsidRPr="00A441DD" w:rsidRDefault="00CF74D6" w:rsidP="00C90FF2">
      <w:pPr>
        <w:spacing w:before="113" w:line="264" w:lineRule="auto"/>
        <w:jc w:val="both"/>
        <w:rPr>
          <w:sz w:val="24"/>
          <w:szCs w:val="24"/>
        </w:rPr>
      </w:pPr>
      <w:r w:rsidRPr="00A441DD">
        <w:rPr>
          <w:sz w:val="24"/>
          <w:szCs w:val="24"/>
        </w:rPr>
        <w:t xml:space="preserve">            11. После подписания настоящего Дополнительного соглашения Стороны руководствуются Условиями оказания услуг ОТП, размещенными на официальном сайте </w:t>
      </w:r>
      <w:r w:rsidR="00D15EC4" w:rsidRPr="00A441DD">
        <w:rPr>
          <w:sz w:val="24"/>
          <w:szCs w:val="24"/>
        </w:rPr>
        <w:t xml:space="preserve">АО «Серпуховская нефтебаза» </w:t>
      </w:r>
      <w:r w:rsidR="005F5F86" w:rsidRPr="00A441DD">
        <w:rPr>
          <w:sz w:val="24"/>
          <w:szCs w:val="24"/>
        </w:rPr>
        <w:t>(http://volgaresurs.ru/)</w:t>
      </w:r>
      <w:r w:rsidRPr="00A441DD">
        <w:rPr>
          <w:sz w:val="24"/>
          <w:szCs w:val="24"/>
        </w:rPr>
        <w:t xml:space="preserve">, с учетом всех изменений и дополнений к ним. </w:t>
      </w:r>
    </w:p>
    <w:p w:rsidR="00EF0EE8" w:rsidRPr="00A441DD" w:rsidRDefault="00CF74D6" w:rsidP="00C90FF2">
      <w:pPr>
        <w:tabs>
          <w:tab w:val="left" w:pos="142"/>
        </w:tabs>
        <w:spacing w:before="113" w:line="264" w:lineRule="auto"/>
        <w:jc w:val="both"/>
        <w:rPr>
          <w:sz w:val="24"/>
          <w:szCs w:val="24"/>
          <w:lang w:eastAsia="ru-RU"/>
        </w:rPr>
      </w:pPr>
      <w:r w:rsidRPr="00A441DD">
        <w:rPr>
          <w:sz w:val="24"/>
          <w:szCs w:val="24"/>
          <w:lang w:eastAsia="ru-RU"/>
        </w:rPr>
        <w:tab/>
      </w:r>
      <w:r w:rsidRPr="00A441DD">
        <w:rPr>
          <w:sz w:val="24"/>
          <w:szCs w:val="24"/>
          <w:lang w:eastAsia="ru-RU"/>
        </w:rPr>
        <w:tab/>
        <w:t>12. Во всем, что не предусмотрено настоящим Дополнительным соглашением, Стороны руководствуются положениями Договора.</w:t>
      </w:r>
    </w:p>
    <w:p w:rsidR="00A526E4" w:rsidRPr="00A441DD" w:rsidRDefault="00CF74D6" w:rsidP="00A441DD">
      <w:pPr>
        <w:widowControl w:val="0"/>
        <w:suppressAutoHyphens w:val="0"/>
        <w:spacing w:before="113"/>
        <w:ind w:firstLine="709"/>
        <w:jc w:val="both"/>
        <w:rPr>
          <w:sz w:val="24"/>
          <w:szCs w:val="24"/>
          <w:lang w:eastAsia="ru-RU"/>
        </w:rPr>
      </w:pPr>
      <w:r w:rsidRPr="00A441DD">
        <w:rPr>
          <w:sz w:val="24"/>
          <w:szCs w:val="24"/>
          <w:lang w:eastAsia="ru-RU"/>
        </w:rPr>
        <w:t xml:space="preserve">13. Настоящее Дополнительное соглашение, составленное в 2-х экземплярах, имеющих равную юридическую силу, вступает в силу </w:t>
      </w:r>
      <w:proofErr w:type="gramStart"/>
      <w:r w:rsidRPr="00A441DD">
        <w:rPr>
          <w:sz w:val="24"/>
          <w:szCs w:val="24"/>
          <w:lang w:eastAsia="ru-RU"/>
        </w:rPr>
        <w:t>с даты подписания</w:t>
      </w:r>
      <w:proofErr w:type="gramEnd"/>
      <w:r w:rsidRPr="00A441DD">
        <w:rPr>
          <w:sz w:val="24"/>
          <w:szCs w:val="24"/>
          <w:lang w:eastAsia="ru-RU"/>
        </w:rPr>
        <w:t xml:space="preserve"> и является неотъемлемой частью Договора.</w:t>
      </w: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962"/>
      </w:tblGrid>
      <w:tr w:rsidR="00D529A6" w:rsidRPr="00A441DD" w:rsidTr="00063EE0">
        <w:tc>
          <w:tcPr>
            <w:tcW w:w="5670" w:type="dxa"/>
            <w:hideMark/>
          </w:tcPr>
          <w:p w:rsidR="00922140" w:rsidRPr="00A441DD" w:rsidRDefault="00CF74D6" w:rsidP="005C7E20">
            <w:pPr>
              <w:pStyle w:val="a6"/>
              <w:spacing w:before="113" w:after="113" w:line="264" w:lineRule="auto"/>
              <w:ind w:firstLine="0"/>
              <w:rPr>
                <w:b w:val="0"/>
                <w:sz w:val="24"/>
                <w:szCs w:val="24"/>
              </w:rPr>
            </w:pPr>
            <w:r w:rsidRPr="00A441DD">
              <w:rPr>
                <w:b w:val="0"/>
                <w:sz w:val="24"/>
                <w:szCs w:val="24"/>
              </w:rPr>
              <w:t xml:space="preserve">От </w:t>
            </w:r>
            <w:r w:rsidR="005C7E20" w:rsidRPr="00A441DD">
              <w:rPr>
                <w:b w:val="0"/>
                <w:sz w:val="24"/>
                <w:szCs w:val="24"/>
              </w:rPr>
              <w:t>Оператора товарных поставок</w:t>
            </w:r>
            <w:r w:rsidRPr="00A441DD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962" w:type="dxa"/>
            <w:hideMark/>
          </w:tcPr>
          <w:p w:rsidR="00EF0EE8" w:rsidRPr="00A441DD" w:rsidRDefault="00CF74D6" w:rsidP="00C30F7A">
            <w:pPr>
              <w:pStyle w:val="a6"/>
              <w:spacing w:before="113" w:after="113" w:line="264" w:lineRule="auto"/>
              <w:ind w:firstLine="0"/>
              <w:rPr>
                <w:b w:val="0"/>
                <w:sz w:val="24"/>
                <w:szCs w:val="24"/>
              </w:rPr>
            </w:pPr>
            <w:r w:rsidRPr="00A441DD">
              <w:rPr>
                <w:b w:val="0"/>
                <w:sz w:val="24"/>
                <w:szCs w:val="24"/>
              </w:rPr>
              <w:t>От Заказчика:</w:t>
            </w:r>
          </w:p>
        </w:tc>
      </w:tr>
      <w:tr w:rsidR="00D529A6" w:rsidRPr="00A441DD" w:rsidTr="00063EE0">
        <w:tc>
          <w:tcPr>
            <w:tcW w:w="5670" w:type="dxa"/>
            <w:hideMark/>
          </w:tcPr>
          <w:p w:rsidR="00922140" w:rsidRPr="00A441DD" w:rsidRDefault="00CF74D6">
            <w:pPr>
              <w:pStyle w:val="a6"/>
              <w:spacing w:before="113" w:after="113" w:line="264" w:lineRule="auto"/>
              <w:ind w:firstLine="0"/>
              <w:rPr>
                <w:b w:val="0"/>
                <w:sz w:val="24"/>
                <w:szCs w:val="24"/>
              </w:rPr>
            </w:pPr>
            <w:r w:rsidRPr="00A441DD">
              <w:rPr>
                <w:b w:val="0"/>
                <w:sz w:val="24"/>
                <w:szCs w:val="24"/>
              </w:rPr>
              <w:t>_________________________</w:t>
            </w:r>
          </w:p>
        </w:tc>
        <w:tc>
          <w:tcPr>
            <w:tcW w:w="4962" w:type="dxa"/>
            <w:hideMark/>
          </w:tcPr>
          <w:p w:rsidR="00922140" w:rsidRPr="00A441DD" w:rsidRDefault="00CF74D6">
            <w:pPr>
              <w:pStyle w:val="a6"/>
              <w:spacing w:before="113" w:after="113" w:line="264" w:lineRule="auto"/>
              <w:ind w:firstLine="0"/>
              <w:rPr>
                <w:b w:val="0"/>
                <w:sz w:val="24"/>
                <w:szCs w:val="24"/>
              </w:rPr>
            </w:pPr>
            <w:r w:rsidRPr="00A441DD">
              <w:rPr>
                <w:b w:val="0"/>
                <w:sz w:val="24"/>
                <w:szCs w:val="24"/>
              </w:rPr>
              <w:t>_________________________</w:t>
            </w:r>
          </w:p>
        </w:tc>
      </w:tr>
    </w:tbl>
    <w:p w:rsidR="001B71A9" w:rsidRPr="00A441DD" w:rsidRDefault="00A441DD" w:rsidP="00D2685A">
      <w:pPr>
        <w:rPr>
          <w:sz w:val="24"/>
          <w:szCs w:val="24"/>
        </w:rPr>
      </w:pPr>
    </w:p>
    <w:sectPr w:rsidR="001B71A9" w:rsidRPr="00A441DD" w:rsidSect="00A526E4">
      <w:footerReference w:type="default" r:id="rId7"/>
      <w:pgSz w:w="11906" w:h="16838"/>
      <w:pgMar w:top="426" w:right="566" w:bottom="851" w:left="709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40" w:rsidRDefault="00722540">
      <w:r>
        <w:separator/>
      </w:r>
    </w:p>
  </w:endnote>
  <w:endnote w:type="continuationSeparator" w:id="1">
    <w:p w:rsidR="00722540" w:rsidRDefault="0072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78381"/>
      <w:docPartObj>
        <w:docPartGallery w:val="Page Numbers (Bottom of Page)"/>
        <w:docPartUnique/>
      </w:docPartObj>
    </w:sdtPr>
    <w:sdtContent>
      <w:p w:rsidR="00A526E4" w:rsidRDefault="00332428">
        <w:pPr>
          <w:pStyle w:val="ad"/>
          <w:jc w:val="right"/>
        </w:pPr>
        <w:r w:rsidRPr="00A526E4">
          <w:rPr>
            <w:sz w:val="16"/>
            <w:szCs w:val="16"/>
          </w:rPr>
          <w:fldChar w:fldCharType="begin"/>
        </w:r>
        <w:r w:rsidR="00CF74D6" w:rsidRPr="00A526E4">
          <w:rPr>
            <w:sz w:val="16"/>
            <w:szCs w:val="16"/>
          </w:rPr>
          <w:instrText>PAGE   \* MERGEFORMAT</w:instrText>
        </w:r>
        <w:r w:rsidRPr="00A526E4">
          <w:rPr>
            <w:sz w:val="16"/>
            <w:szCs w:val="16"/>
          </w:rPr>
          <w:fldChar w:fldCharType="separate"/>
        </w:r>
        <w:r w:rsidR="00A441DD">
          <w:rPr>
            <w:noProof/>
            <w:sz w:val="16"/>
            <w:szCs w:val="16"/>
          </w:rPr>
          <w:t>2</w:t>
        </w:r>
        <w:r w:rsidRPr="00A526E4">
          <w:rPr>
            <w:sz w:val="16"/>
            <w:szCs w:val="16"/>
          </w:rPr>
          <w:fldChar w:fldCharType="end"/>
        </w:r>
      </w:p>
    </w:sdtContent>
  </w:sdt>
  <w:p w:rsidR="00A526E4" w:rsidRDefault="00A441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40" w:rsidRDefault="00722540">
      <w:r>
        <w:separator/>
      </w:r>
    </w:p>
  </w:footnote>
  <w:footnote w:type="continuationSeparator" w:id="1">
    <w:p w:rsidR="00722540" w:rsidRDefault="00722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olor w:val="auto"/>
        <w:spacing w:val="-6"/>
        <w:sz w:val="22"/>
        <w:szCs w:val="22"/>
        <w:lang w:bidi="ar-SA"/>
      </w:rPr>
    </w:lvl>
    <w:lvl w:ilvl="1">
      <w:start w:val="1"/>
      <w:numFmt w:val="decimal"/>
      <w:lvlText w:val="%2)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>
    <w:nsid w:val="0B6A1250"/>
    <w:multiLevelType w:val="multilevel"/>
    <w:tmpl w:val="B6B83E10"/>
    <w:styleLink w:val="1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245F04"/>
    <w:multiLevelType w:val="multilevel"/>
    <w:tmpl w:val="B6B83E10"/>
    <w:numStyleLink w:val="1"/>
  </w:abstractNum>
  <w:abstractNum w:abstractNumId="3">
    <w:nsid w:val="269A1CAE"/>
    <w:multiLevelType w:val="hybridMultilevel"/>
    <w:tmpl w:val="0F0CB12C"/>
    <w:lvl w:ilvl="0" w:tplc="5204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64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42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A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6E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C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4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E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C00F3"/>
    <w:multiLevelType w:val="hybridMultilevel"/>
    <w:tmpl w:val="0CF8E19E"/>
    <w:lvl w:ilvl="0" w:tplc="28EA1DB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51A00F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D05E38C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512949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C22474F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85741AE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862E70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D98ECB4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2ABA7CA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8FD4D9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02135FA"/>
    <w:multiLevelType w:val="hybridMultilevel"/>
    <w:tmpl w:val="F66C1D00"/>
    <w:lvl w:ilvl="0" w:tplc="CB3C50FA">
      <w:start w:val="1"/>
      <w:numFmt w:val="decimal"/>
      <w:lvlText w:val="%1."/>
      <w:lvlJc w:val="left"/>
      <w:pPr>
        <w:ind w:left="720" w:hanging="360"/>
      </w:pPr>
    </w:lvl>
    <w:lvl w:ilvl="1" w:tplc="F37C9E22">
      <w:start w:val="1"/>
      <w:numFmt w:val="lowerLetter"/>
      <w:lvlText w:val="%2."/>
      <w:lvlJc w:val="left"/>
      <w:pPr>
        <w:ind w:left="1440" w:hanging="360"/>
      </w:pPr>
    </w:lvl>
    <w:lvl w:ilvl="2" w:tplc="09CC54E6" w:tentative="1">
      <w:start w:val="1"/>
      <w:numFmt w:val="lowerRoman"/>
      <w:lvlText w:val="%3."/>
      <w:lvlJc w:val="right"/>
      <w:pPr>
        <w:ind w:left="2160" w:hanging="180"/>
      </w:pPr>
    </w:lvl>
    <w:lvl w:ilvl="3" w:tplc="6974F6BE" w:tentative="1">
      <w:start w:val="1"/>
      <w:numFmt w:val="decimal"/>
      <w:lvlText w:val="%4."/>
      <w:lvlJc w:val="left"/>
      <w:pPr>
        <w:ind w:left="2880" w:hanging="360"/>
      </w:pPr>
    </w:lvl>
    <w:lvl w:ilvl="4" w:tplc="810623DE" w:tentative="1">
      <w:start w:val="1"/>
      <w:numFmt w:val="lowerLetter"/>
      <w:lvlText w:val="%5."/>
      <w:lvlJc w:val="left"/>
      <w:pPr>
        <w:ind w:left="3600" w:hanging="360"/>
      </w:pPr>
    </w:lvl>
    <w:lvl w:ilvl="5" w:tplc="593A7B68" w:tentative="1">
      <w:start w:val="1"/>
      <w:numFmt w:val="lowerRoman"/>
      <w:lvlText w:val="%6."/>
      <w:lvlJc w:val="right"/>
      <w:pPr>
        <w:ind w:left="4320" w:hanging="180"/>
      </w:pPr>
    </w:lvl>
    <w:lvl w:ilvl="6" w:tplc="BCEE8664" w:tentative="1">
      <w:start w:val="1"/>
      <w:numFmt w:val="decimal"/>
      <w:lvlText w:val="%7."/>
      <w:lvlJc w:val="left"/>
      <w:pPr>
        <w:ind w:left="5040" w:hanging="360"/>
      </w:pPr>
    </w:lvl>
    <w:lvl w:ilvl="7" w:tplc="25AEE556" w:tentative="1">
      <w:start w:val="1"/>
      <w:numFmt w:val="lowerLetter"/>
      <w:lvlText w:val="%8."/>
      <w:lvlJc w:val="left"/>
      <w:pPr>
        <w:ind w:left="5760" w:hanging="360"/>
      </w:pPr>
    </w:lvl>
    <w:lvl w:ilvl="8" w:tplc="9AB24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33CC"/>
    <w:multiLevelType w:val="hybridMultilevel"/>
    <w:tmpl w:val="A3DCB896"/>
    <w:lvl w:ilvl="0" w:tplc="60DE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6AA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A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D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8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87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D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07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35246"/>
    <w:multiLevelType w:val="multilevel"/>
    <w:tmpl w:val="8DAC7B54"/>
    <w:styleLink w:val="10"/>
    <w:lvl w:ilvl="0">
      <w:start w:val="1"/>
      <w:numFmt w:val="decimal"/>
      <w:lvlText w:val="Раздел %1."/>
      <w:lvlJc w:val="left"/>
      <w:pPr>
        <w:ind w:left="1709" w:hanging="43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lvl w:ilvl="0">
        <w:start w:val="1"/>
        <w:numFmt w:val="decimal"/>
        <w:lvlText w:val="Статья 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9A6"/>
    <w:rsid w:val="00332428"/>
    <w:rsid w:val="00352549"/>
    <w:rsid w:val="005879E2"/>
    <w:rsid w:val="005C7E20"/>
    <w:rsid w:val="005F5F86"/>
    <w:rsid w:val="00722540"/>
    <w:rsid w:val="009211B8"/>
    <w:rsid w:val="009E455E"/>
    <w:rsid w:val="00A441DD"/>
    <w:rsid w:val="00CF74D6"/>
    <w:rsid w:val="00D15EC4"/>
    <w:rsid w:val="00D5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99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 Indent"/>
    <w:basedOn w:val="a"/>
    <w:link w:val="a7"/>
    <w:unhideWhenUsed/>
    <w:rsid w:val="00922140"/>
    <w:pPr>
      <w:ind w:firstLine="567"/>
      <w:jc w:val="both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92214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E2DE1"/>
    <w:pPr>
      <w:ind w:left="720"/>
      <w:contextualSpacing/>
    </w:pPr>
  </w:style>
  <w:style w:type="paragraph" w:customStyle="1" w:styleId="a9">
    <w:name w:val="буллиты"/>
    <w:basedOn w:val="a"/>
    <w:link w:val="aa"/>
    <w:qFormat/>
    <w:rsid w:val="00443D2D"/>
    <w:pPr>
      <w:suppressAutoHyphens w:val="0"/>
      <w:autoSpaceDE w:val="0"/>
      <w:autoSpaceDN w:val="0"/>
      <w:spacing w:before="120" w:after="120"/>
      <w:ind w:left="1100" w:hanging="360"/>
      <w:contextualSpacing/>
    </w:pPr>
    <w:rPr>
      <w:sz w:val="24"/>
      <w:szCs w:val="24"/>
      <w:lang w:eastAsia="ru-RU"/>
    </w:rPr>
  </w:style>
  <w:style w:type="character" w:customStyle="1" w:styleId="aa">
    <w:name w:val="буллиты Знак"/>
    <w:basedOn w:val="a0"/>
    <w:link w:val="a9"/>
    <w:rsid w:val="00443D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43D2D"/>
    <w:pPr>
      <w:numPr>
        <w:numId w:val="5"/>
      </w:numPr>
    </w:pPr>
  </w:style>
  <w:style w:type="paragraph" w:styleId="ab">
    <w:name w:val="header"/>
    <w:basedOn w:val="a"/>
    <w:link w:val="ac"/>
    <w:uiPriority w:val="99"/>
    <w:unhideWhenUsed/>
    <w:rsid w:val="00A526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6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A526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6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B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C5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591F"/>
  </w:style>
  <w:style w:type="character" w:customStyle="1" w:styleId="af1">
    <w:name w:val="Текст примечания Знак"/>
    <w:basedOn w:val="a0"/>
    <w:link w:val="af0"/>
    <w:uiPriority w:val="99"/>
    <w:semiHidden/>
    <w:rsid w:val="00EC591F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0">
    <w:name w:val="Правила1"/>
    <w:uiPriority w:val="99"/>
    <w:rsid w:val="008E04F3"/>
    <w:pPr>
      <w:numPr>
        <w:numId w:val="9"/>
      </w:numPr>
    </w:p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6A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6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99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 Indent"/>
    <w:basedOn w:val="a"/>
    <w:link w:val="a7"/>
    <w:unhideWhenUsed/>
    <w:rsid w:val="00922140"/>
    <w:pPr>
      <w:ind w:firstLine="567"/>
      <w:jc w:val="both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92214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E2DE1"/>
    <w:pPr>
      <w:ind w:left="720"/>
      <w:contextualSpacing/>
    </w:pPr>
  </w:style>
  <w:style w:type="paragraph" w:customStyle="1" w:styleId="a9">
    <w:name w:val="буллиты"/>
    <w:basedOn w:val="a"/>
    <w:link w:val="aa"/>
    <w:qFormat/>
    <w:rsid w:val="00443D2D"/>
    <w:pPr>
      <w:suppressAutoHyphens w:val="0"/>
      <w:autoSpaceDE w:val="0"/>
      <w:autoSpaceDN w:val="0"/>
      <w:spacing w:before="120" w:after="120"/>
      <w:ind w:left="1100" w:hanging="360"/>
      <w:contextualSpacing/>
    </w:pPr>
    <w:rPr>
      <w:sz w:val="24"/>
      <w:szCs w:val="24"/>
      <w:lang w:eastAsia="ru-RU"/>
    </w:rPr>
  </w:style>
  <w:style w:type="character" w:customStyle="1" w:styleId="aa">
    <w:name w:val="буллиты Знак"/>
    <w:basedOn w:val="a0"/>
    <w:link w:val="a9"/>
    <w:rsid w:val="00443D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43D2D"/>
    <w:pPr>
      <w:numPr>
        <w:numId w:val="5"/>
      </w:numPr>
    </w:pPr>
  </w:style>
  <w:style w:type="paragraph" w:styleId="ab">
    <w:name w:val="header"/>
    <w:basedOn w:val="a"/>
    <w:link w:val="ac"/>
    <w:uiPriority w:val="99"/>
    <w:unhideWhenUsed/>
    <w:rsid w:val="00A526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6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A526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6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B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C5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591F"/>
  </w:style>
  <w:style w:type="character" w:customStyle="1" w:styleId="af1">
    <w:name w:val="Текст примечания Знак"/>
    <w:basedOn w:val="a0"/>
    <w:link w:val="af0"/>
    <w:uiPriority w:val="99"/>
    <w:semiHidden/>
    <w:rsid w:val="00EC591F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0">
    <w:name w:val="Правила1"/>
    <w:uiPriority w:val="99"/>
    <w:rsid w:val="008E04F3"/>
    <w:pPr>
      <w:numPr>
        <w:numId w:val="9"/>
      </w:numPr>
    </w:p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6A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6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dolginbm</dc:creator>
  <cp:lastModifiedBy>User</cp:lastModifiedBy>
  <cp:revision>8</cp:revision>
  <cp:lastPrinted>2017-10-20T07:53:00Z</cp:lastPrinted>
  <dcterms:created xsi:type="dcterms:W3CDTF">2017-12-05T06:08:00Z</dcterms:created>
  <dcterms:modified xsi:type="dcterms:W3CDTF">2019-01-17T07:12:00Z</dcterms:modified>
</cp:coreProperties>
</file>